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Copperplate-Bold" w:hAnsi="Copperplate-Bold" w:cs="Copperplate-Bold"/>
          <w:b/>
          <w:bCs/>
          <w:sz w:val="33"/>
          <w:szCs w:val="33"/>
        </w:rPr>
      </w:pPr>
      <w:r>
        <w:rPr>
          <w:rFonts w:ascii="Copperplate-Bold" w:hAnsi="Copperplate-Bold" w:cs="Copperplate-Bold"/>
          <w:b/>
          <w:bCs/>
          <w:sz w:val="33"/>
          <w:szCs w:val="33"/>
        </w:rPr>
        <w:t>PURE DOCTRINE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Martin Luther writes, “Above all things we should strive to preserve the true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doctrine of Scripture in purity and unanimity.”</w:t>
      </w:r>
      <w:r>
        <w:rPr>
          <w:rFonts w:ascii="TimesNewRomanPSMT" w:hAnsi="TimesNewRomanPSMT" w:cs="TimesNewRomanPSMT"/>
          <w:sz w:val="16"/>
          <w:szCs w:val="16"/>
        </w:rPr>
        <w:t xml:space="preserve">1 </w:t>
      </w:r>
      <w:r>
        <w:rPr>
          <w:rFonts w:ascii="TimesNewRomanPSMT" w:hAnsi="TimesNewRomanPSMT" w:cs="TimesNewRomanPSMT"/>
          <w:sz w:val="24"/>
          <w:szCs w:val="24"/>
        </w:rPr>
        <w:t>If anyone emphasized the importance of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pure doctrine, it was certainly Martin Luther. It was precisely because the doctrine was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not pure that the medieval church had instituted so many practices contrary to God’s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Word, practices that deprived the people of comfort as they directed them to various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human works for assurance of God’s favor. The practices of indulgences, prayers to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saints, pilgrimages, relics and so on all proceeded from a false and impure understanding of the Scriptures. And of course the practices reflected the theology on which they were based.</w:t>
      </w:r>
    </w:p>
    <w:p w:rsidR="00C46037" w:rsidRDefault="00C46037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Reformation took place precisely because Luther rediscovered the pure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doctrine. The Gospel, with its magnificent comfort in Christ, came once again to shine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forth in its glory because the pure doctrine was taught to the people. Ever since Luther,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Lutheran Church has treasured pure doctrine, has considered it necessary for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health and salvation of the church and has strived for it. Our Lutheran Confessions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declare, “The true adornment of the churches is godly, useful and clear doctrine...”</w:t>
      </w:r>
      <w:r>
        <w:rPr>
          <w:rFonts w:ascii="TimesNewRomanPSMT" w:hAnsi="TimesNewRomanPSMT" w:cs="TimesNewRomanPSMT"/>
          <w:sz w:val="16"/>
          <w:szCs w:val="16"/>
        </w:rPr>
        <w:t>2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From time to time there are those within the Lutheran Church who lament her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insistence on the commitment to pure doctrine. Incessant doctrinal purification may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deprive the church of her energies and divert her from the task of evangelism. So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reasoning may go. Never mind that the Old Testament frequently warns against false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prophets. Never mind that the Apostles in virtually all of the epistles have it as their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objective to teach the pure doctrine and to identify and reject the false teachings of their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day. Never mind that Jesus Himself is constantly setting forth the pure doctrine and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condemning the false teachings of the scribes and Pharisees. Never mind all this!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complaint about attention to pure doctrine continues to be heard from those who have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pietistic or liberal leanings. So it will always be.</w:t>
      </w:r>
    </w:p>
    <w:p w:rsidR="00C46037" w:rsidRDefault="00C46037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our day the very concept of absolute truth or pure doctrine is denigrated. But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Luther says, “If purity of doctrine is to be maintained and the true religious worship is to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 commended publicly, it is certainly the duty of all pious teachers to expose again and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again the godless doctrine of the papacy and to denounce false forms of worship.”</w:t>
      </w:r>
      <w:r>
        <w:rPr>
          <w:rFonts w:ascii="TimesNewRomanPSMT" w:hAnsi="TimesNewRomanPSMT" w:cs="TimesNewRomanPSMT"/>
          <w:sz w:val="16"/>
          <w:szCs w:val="16"/>
        </w:rPr>
        <w:t>3</w:t>
      </w:r>
    </w:p>
    <w:p w:rsidR="003D58B0" w:rsidRPr="00C46037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Luther promotes incessant doctrinal purification. C.F.W. Walther also promotes ince</w:t>
      </w:r>
      <w:r w:rsidR="00C46037">
        <w:rPr>
          <w:rFonts w:ascii="TimesNewRomanPSMT" w:hAnsi="TimesNewRomanPSMT" w:cs="TimesNewRomanPSMT"/>
          <w:sz w:val="24"/>
          <w:szCs w:val="24"/>
        </w:rPr>
        <w:t xml:space="preserve">ssant </w:t>
      </w:r>
      <w:r>
        <w:rPr>
          <w:rFonts w:ascii="TimesNewRomanPSMT" w:hAnsi="TimesNewRomanPSMT" w:cs="TimesNewRomanPSMT"/>
          <w:sz w:val="24"/>
          <w:szCs w:val="24"/>
        </w:rPr>
        <w:t>doctrinal purification. In his essay, “Duties of an Evangelical Lutheran Synod,”</w:t>
      </w:r>
      <w:r w:rsidR="00C46037">
        <w:rPr>
          <w:rFonts w:ascii="TimesNewRomanPSMT" w:hAnsi="TimesNewRomanPSMT" w:cs="TimesNewRomanPSMT"/>
          <w:sz w:val="24"/>
          <w:szCs w:val="24"/>
        </w:rPr>
        <w:t xml:space="preserve"> Walther </w:t>
      </w:r>
      <w:r>
        <w:rPr>
          <w:rFonts w:ascii="TimesNewRomanPSMT" w:hAnsi="TimesNewRomanPSMT" w:cs="TimesNewRomanPSMT"/>
          <w:sz w:val="24"/>
          <w:szCs w:val="24"/>
        </w:rPr>
        <w:t>states, “It is impossible for a sizable church body to remain in the true faith if there isn’</w:t>
      </w:r>
      <w:r w:rsidR="00C46037">
        <w:rPr>
          <w:rFonts w:ascii="TimesNewRomanPSMT" w:hAnsi="TimesNewRomanPSMT" w:cs="TimesNewRomanPSMT"/>
          <w:sz w:val="24"/>
          <w:szCs w:val="24"/>
        </w:rPr>
        <w:t xml:space="preserve">t 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constant check </w:t>
      </w:r>
      <w:r>
        <w:rPr>
          <w:rFonts w:ascii="TimesNewRomanPSMT" w:hAnsi="TimesNewRomanPSMT" w:cs="TimesNewRomanPSMT"/>
          <w:sz w:val="24"/>
          <w:szCs w:val="24"/>
        </w:rPr>
        <w:t>to see that everything still is as it was in the beginning.”</w:t>
      </w:r>
      <w:r>
        <w:rPr>
          <w:rFonts w:ascii="TimesNewRomanPSMT" w:hAnsi="TimesNewRomanPSMT" w:cs="TimesNewRomanPSMT"/>
          <w:sz w:val="16"/>
          <w:szCs w:val="16"/>
        </w:rPr>
        <w:t>4</w:t>
      </w:r>
    </w:p>
    <w:p w:rsidR="00C46037" w:rsidRDefault="00C46037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myself, I will be content to stand with Luther and Walther and also with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authors of the Formula of Concord who, having taught the pure doctrine, and having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refuted the many errors that had arisen in the church since the death of Luther</w:t>
      </w:r>
      <w:r w:rsidR="00C46037">
        <w:rPr>
          <w:rFonts w:ascii="TimesNewRomanPSMT" w:hAnsi="TimesNewRomanPSMT" w:cs="TimesNewRomanPSMT"/>
          <w:sz w:val="24"/>
          <w:szCs w:val="24"/>
        </w:rPr>
        <w:t xml:space="preserve">, confessed </w:t>
      </w:r>
      <w:r>
        <w:rPr>
          <w:rFonts w:ascii="TimesNewRomanPSMT" w:hAnsi="TimesNewRomanPSMT" w:cs="TimesNewRomanPSMT"/>
          <w:sz w:val="24"/>
          <w:szCs w:val="24"/>
        </w:rPr>
        <w:t>in these words: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From this our explanation, friends and enemies and therefore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everyone, may clearly infer that we have no intention of yielding aught of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eternal, immutable truth of God for the sake of temporal peace,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tranquility, and unity (which moreover, is not in our power to do). Nor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would such peace and unity, since it is devised against the truth and for its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suppression, have any permanency. Still less are we inclined to adorn and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conceal a corruption of the pure doctrine and manifest condemned errors.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But we entertain heartfelt pleasure and love for, and on our part are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sincerely inclined and anxious to advance, that unity according to our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utmost power, by which His glory remains to God uninjured, nothing of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divine truth of the holy Gospel is surrendered, no room is given to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least error, poor sinners are brought to true, genuine repentance, raised up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by faith, confirmed in obedience, and thus justified and eternally saved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alone through the sole merit of Christ.</w:t>
      </w:r>
      <w:r>
        <w:rPr>
          <w:rFonts w:ascii="TimesNewRomanPSMT" w:hAnsi="TimesNewRomanPSMT" w:cs="TimesNewRomanPSMT"/>
          <w:sz w:val="16"/>
          <w:szCs w:val="16"/>
        </w:rPr>
        <w:t>5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</w:p>
    <w:p w:rsidR="00C46037" w:rsidRDefault="00C46037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my presentation to you today I would like to focus on four main aspects of this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subject of pure doctrine. First of all, I would like to spend time on the intimate connection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between doctrine and practice. Second I would like to talk about the connection between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Scripture’s clarity and pure doctrine. Third, I would like to discuss the concept of pure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doctrine as salvific or saving. Finally, I would like to point out the importance of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identifying error and condemning it as an essential counterpart to the proclamation of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truth.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his lectures on Galatians in 1535 Luther noted a distinction between doctrine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life that is quite useful.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…doctrine must be carefully distinguished from life. Doctrine 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heaven; life is earth. In life there is sin, error, uncleanness, and misery,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mixed, as the saying goes, “with vinegar.” Here love should condone,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tolerate, be deceived, trust, hope, and endure all things (1 Cor. 13:7); here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forgiveness of sins should have complete sway, provided that sin and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error are not defended. But just as there is no error in doctrine, so there 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 need for any forgiveness of sins. Therefore there is no comparison at all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between doctrine and life. “One dot” of doctrine is worth more than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“heaven and earth” (Matt. 5:18); therefore we do not permit the slightest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offense against it. But we can be lenient toward errors of life. For we, too,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err daily in our life and conduct; so do all the saints, as they earnestly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confess in the Lord’s Prayer and the Creed. But by the grace of God our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doctrine is pure; we have all the articles of faith solidly established in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Sacred Scripture. The devil would dearly love to corrupt and overthrow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these; that is why he attacks us so cleverly with this specious argument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about not offending against love and the harmony among the churches.</w:t>
      </w:r>
      <w:r>
        <w:rPr>
          <w:rFonts w:ascii="TimesNewRomanPSMT" w:hAnsi="TimesNewRomanPSMT" w:cs="TimesNewRomanPSMT"/>
          <w:sz w:val="16"/>
          <w:szCs w:val="16"/>
        </w:rPr>
        <w:t>6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Earlier in this same commentary Luther remarks, “Therefore doctrine must be one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eternal and round golden circle, in which there is no crack; if even the tiniest crack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appears, the circle is no longer perfect.”</w:t>
      </w:r>
      <w:r>
        <w:rPr>
          <w:rFonts w:ascii="TimesNewRomanPSMT" w:hAnsi="TimesNewRomanPSMT" w:cs="TimesNewRomanPSMT"/>
          <w:sz w:val="16"/>
          <w:szCs w:val="16"/>
        </w:rPr>
        <w:t xml:space="preserve">7 </w:t>
      </w:r>
      <w:r>
        <w:rPr>
          <w:rFonts w:ascii="TimesNewRomanPSMT" w:hAnsi="TimesNewRomanPSMT" w:cs="TimesNewRomanPSMT"/>
          <w:sz w:val="24"/>
          <w:szCs w:val="24"/>
        </w:rPr>
        <w:t>Luther’s point is not difficult to follow.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Doctrine must be perfect. There must be no error in our teaching. When the teaching 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correct, he says, “we do not permit the slightest offense against it.” On the other hand,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when it comes to people’s lives, we are willing to forgive anything. Sin should not be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defended but it should be forgiven. Doctrine comes from God and we do not have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right to tamper with it, change it, eliminate it or deny it in any way. Therefore, when a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pastor preaches the teachings of Scripture, there will never be any need for him to ask for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forgiveness for the way he has preached. But life is what we do. It is filled with sin and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error. We should be understanding when it comes to the way people live and be prepared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forgive.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distinction between doctrine and life is a helpful one. It was made by Luther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refute the charge that the Lutherans were not loving when they insisted so strenuously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that there must be agreement on doctrine. “We are very willing to be loving when it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comes to people’s lives,” Luther is saying. “But we have no right to be “loving” when it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comes to God’s Word. Here there can be no flexibility, no forgiveness, so to speak.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Word must be taught and preached clearly. A very helpful distinction.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But there is another important distinction that needs to be made, namely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distinction between life and practice. There are many who would like to place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church’s practice in the same category as Christians’ lives. Here, too, it is held, we need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be understanding and forgiving and not be critical if people within the same fellowship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have different church practices. As Lutherans, of course, we recognize the validity of our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church’s teaching on adiaphora. We recognize that certain practices in the church are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neither commanded nor forbidden by God’s Word. That is not the issue here.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questions here are: Does our practice reflect our doctrine? Should our practice reflect our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doctrine? Does doctrine form practice? Does unscriptural practice compromise the clarity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our doctrinal confession? The Christian’s life and the Church’s practice are not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same thing. They need to be distinguished from each other.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2002 Dr. David Scaer made a presentation to the Council of Presidents of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Lutheran Church—Missouri Synod. It was entitled, “Doctrine and Practice: Setting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Boundaries: An Abstract Essay with Practical Implications.” His presentation took place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about five months after the participation of District President David Benke in an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interfaith prayer service at Yankee Stadium in New York. This was a very painful time in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history of our church. Although Dr. Scaer’s paper does not address directly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episode at Yankee Stadium, it is clearly an attempt to provide guidance to the Church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when difficult decisions are before her and to make it clear that doctrine and practice are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intimately connected. Toward the beginning of his presentation, he notes that a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distinction needs to be made between the church’s practice and Christian life. Christian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life is imperfect and is to be excluded from the concept of the church’s practice. Dr. Scaer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then goes on to explain the view of the Lutheran Confessions regarding the relationship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between doctrine and practice. He says,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Augsburg Confession </w:t>
      </w:r>
      <w:r>
        <w:rPr>
          <w:rFonts w:ascii="TimesNewRomanPSMT" w:hAnsi="TimesNewRomanPSMT" w:cs="TimesNewRomanPSMT"/>
          <w:sz w:val="24"/>
          <w:szCs w:val="24"/>
        </w:rPr>
        <w:t xml:space="preserve">and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Apology </w:t>
      </w:r>
      <w:r>
        <w:rPr>
          <w:rFonts w:ascii="TimesNewRomanPSMT" w:hAnsi="TimesNewRomanPSMT" w:cs="TimesNewRomanPSMT"/>
          <w:sz w:val="24"/>
          <w:szCs w:val="24"/>
        </w:rPr>
        <w:t>discuss doctrine in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first twenty-one articles and practice in the last seven. This division might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suggest that doctrine and practice are two different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things</w:t>
      </w:r>
      <w:r>
        <w:rPr>
          <w:rFonts w:ascii="TimesNewRomanPSMT" w:hAnsi="TimesNewRomanPSMT" w:cs="TimesNewRomanPSMT"/>
          <w:sz w:val="24"/>
          <w:szCs w:val="24"/>
        </w:rPr>
        <w:t>, but as these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confessions show, they are really aspects of one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thing </w:t>
      </w:r>
      <w:r>
        <w:rPr>
          <w:rFonts w:ascii="TimesNewRomanPSMT" w:hAnsi="TimesNewRomanPSMT" w:cs="TimesNewRomanPSMT"/>
          <w:sz w:val="24"/>
          <w:szCs w:val="24"/>
        </w:rPr>
        <w:t>with each reflecting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other and both deriving their content and form from the same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underlying reality, God Himself. So we may begin with doctrine or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practice, two sides of one coin. Doctrine expresses itself in certain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practices and embedded in our practices is what we believe…</w:t>
      </w:r>
      <w:r>
        <w:rPr>
          <w:rFonts w:ascii="TimesNewRomanPSMT" w:hAnsi="TimesNewRomanPSMT" w:cs="TimesNewRomanPSMT"/>
          <w:sz w:val="16"/>
          <w:szCs w:val="16"/>
        </w:rPr>
        <w:t>8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intimate connection between doctrine and practice ought to be obvious. If I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were to say that I accept the 6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 w:val="24"/>
          <w:szCs w:val="24"/>
        </w:rPr>
        <w:t>Commandment as true and correct doctrine but am not so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much concerned about how the doctrine of that commandment is expressed in my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practice, how would you interpret that? You might conclude that I would not be critical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adultery or fornication. You might conclude that, as a pastor, I would have no trouble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with two of my members living together outside of marriage. You might even conclude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that I was a liar who didn’t accept the teaching of the 6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 w:val="24"/>
          <w:szCs w:val="24"/>
        </w:rPr>
        <w:t>Commandment at all! What kind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person accepts the doctrine but not the practice? Or if I were to say to you that I accept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teaching of the 7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 w:val="24"/>
          <w:szCs w:val="24"/>
        </w:rPr>
        <w:t>Commandment but am not so much concerned about how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doctrine of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that </w:t>
      </w:r>
      <w:r>
        <w:rPr>
          <w:rFonts w:ascii="TimesNewRomanPSMT" w:hAnsi="TimesNewRomanPSMT" w:cs="TimesNewRomanPSMT"/>
          <w:sz w:val="24"/>
          <w:szCs w:val="24"/>
        </w:rPr>
        <w:t>commandment is expressed in my practice, how would you interpret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that</w:t>
      </w:r>
      <w:r>
        <w:rPr>
          <w:rFonts w:ascii="TimesNewRomanPSMT" w:hAnsi="TimesNewRomanPSMT" w:cs="TimesNewRomanPSMT"/>
          <w:sz w:val="24"/>
          <w:szCs w:val="24"/>
        </w:rPr>
        <w:t>? You might want to keep a close eye on your wallet!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According to David Scaer,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Doctrine and practice draw from the same substance, they are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inseparably related: two sides of the same coin.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Doctrinal formulations arose not only as a response to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misformulations, as with Arius, (for example, the Nicene Creed), but also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because certain practices like indulgences were judged to contradict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foundation of faith, which then may not have been fully formulated. This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controversy (practice) allowed both parties to articulate their positions on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justification (doctrine).</w:t>
      </w:r>
      <w:r>
        <w:rPr>
          <w:rFonts w:ascii="TimesNewRomanPSMT" w:hAnsi="TimesNewRomanPSMT" w:cs="TimesNewRomanPSMT"/>
          <w:sz w:val="16"/>
          <w:szCs w:val="16"/>
        </w:rPr>
        <w:t>9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There is an old song that goes, “Love and marriage, love and marriage go together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like a horse and carriage.” The same is true of doctrine and practice. They go together.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Our doctrine is reflected in our practice. Our practice demonstrates what our doctrine is.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our practice is sloppy or unscriptural, it says something about our doctrine. I quote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David Scaer again. “Since both doctrine and practice derive their content and form from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same reality, which is the Trinitarian God in His saving acts, then the strictures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required for one are also required for the other.”</w:t>
      </w:r>
      <w:r>
        <w:rPr>
          <w:rFonts w:ascii="TimesNewRomanPSMT" w:hAnsi="TimesNewRomanPSMT" w:cs="TimesNewRomanPSMT"/>
          <w:sz w:val="16"/>
          <w:szCs w:val="16"/>
        </w:rPr>
        <w:t>10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Thus, when it comes to worship, for example, one cannot take the cavalier view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that one can do what one wishes. While it is true that specific forms in worship are not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mandated by Scripture, it is nevertheless necessary that the worship of the church reflect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its doctrine and that it do so adequately and correctly. We cannot take the time today to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 the importance of uniformity in our worship or the desirability of worship that 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truly ecumenical in the good sense. We don’t have time to discuss the whole matter of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what it means to be 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synod </w:t>
      </w:r>
      <w:r>
        <w:rPr>
          <w:rFonts w:ascii="TimesNewRomanPSMT" w:hAnsi="TimesNewRomanPSMT" w:cs="TimesNewRomanPSMT"/>
          <w:sz w:val="24"/>
          <w:szCs w:val="24"/>
        </w:rPr>
        <w:t>in regard to our worship. However, we do have the time to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say that if, in our worship services, we use hymns which contain Baptist theology or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prayers that promote Methodist doctrine, there will be a disconnect between our doctrine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our practice. Our practice will be denying our doctrine. And here I think I need to say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also that it is not only what the service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does </w:t>
      </w:r>
      <w:r>
        <w:rPr>
          <w:rFonts w:ascii="TimesNewRomanPSMT" w:hAnsi="TimesNewRomanPSMT" w:cs="TimesNewRomanPSMT"/>
          <w:sz w:val="24"/>
          <w:szCs w:val="24"/>
        </w:rPr>
        <w:t xml:space="preserve">contain but also what it does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not </w:t>
      </w:r>
      <w:r>
        <w:rPr>
          <w:rFonts w:ascii="TimesNewRomanPSMT" w:hAnsi="TimesNewRomanPSMT" w:cs="TimesNewRomanPSMT"/>
          <w:sz w:val="24"/>
          <w:szCs w:val="24"/>
        </w:rPr>
        <w:t>contain that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makes a statement about our doctrine. In other words, it is possible that a given service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would contain no false teaching whatever, but would also contain very little doctrine at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all. If, in the use of whatever liturgy you are using, the proclamation of the Gospel is not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clear, for example, if there is little or no reference to the forgiveness of sins or to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atonement, there is still a disconnect between doctrine and practice. In other words, when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it comes to the connection between doctrine and practice, there are sins of commission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sins of omission.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cite Scaer again, “…doctrine and practice do not exist in autonomous spheres.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Abraham’s sacrificing Isaac (practice) was the evidence or extension of what he believed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about God (…doctrine) (James 2:21-25)… We know ourselves and others know us not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only by what we say (doctrine), but by what we do (practice).”</w:t>
      </w:r>
      <w:r>
        <w:rPr>
          <w:rFonts w:ascii="TimesNewRomanPSMT" w:hAnsi="TimesNewRomanPSMT" w:cs="TimesNewRomanPSMT"/>
          <w:sz w:val="16"/>
          <w:szCs w:val="16"/>
        </w:rPr>
        <w:t>11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I’d like to provide two more quotations from this excellent article by David Scaer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then illustrate a disconnect between doctrine and practice that I find particularly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troubling, namely the practice of open communion. First the words of Scaer. “Practices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contradicting doctrine are unacceptable. Since both doctrine and practice flow from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same fundamental reality, we can no more be lenient with one than with the other. We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cannot allow ourselves a freedom in practice that we would never allow for ourselves in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doctrine.”</w:t>
      </w:r>
      <w:r>
        <w:rPr>
          <w:rFonts w:ascii="TimesNewRomanPSMT" w:hAnsi="TimesNewRomanPSMT" w:cs="TimesNewRomanPSMT"/>
          <w:sz w:val="16"/>
          <w:szCs w:val="16"/>
        </w:rPr>
        <w:t>12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At the very end of his article Scaer concludes, “What Jesus was,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filius dei… homo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factus est </w:t>
      </w:r>
      <w:r>
        <w:rPr>
          <w:rFonts w:ascii="TimesNewRomanPSMT" w:hAnsi="TimesNewRomanPSMT" w:cs="TimesNewRomanPSMT"/>
          <w:sz w:val="24"/>
          <w:szCs w:val="24"/>
        </w:rPr>
        <w:t xml:space="preserve">(doctrine) is seen in what He did,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crucifixus </w:t>
      </w:r>
      <w:r>
        <w:rPr>
          <w:rFonts w:ascii="TimesNewRomanPSMT" w:hAnsi="TimesNewRomanPSMT" w:cs="TimesNewRomanPSMT"/>
          <w:sz w:val="24"/>
          <w:szCs w:val="24"/>
        </w:rPr>
        <w:t xml:space="preserve">(practice). He did this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pro nobis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(doctrine). So also what we believe (doctrine) must be seen in what we do (practice). We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can hardly require anything less of ourselves, lest what we do contradict what we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believe.”</w:t>
      </w:r>
      <w:r>
        <w:rPr>
          <w:rFonts w:ascii="TimesNewRomanPSMT" w:hAnsi="TimesNewRomanPSMT" w:cs="TimesNewRomanPSMT"/>
          <w:sz w:val="16"/>
          <w:szCs w:val="16"/>
        </w:rPr>
        <w:t>13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There are some churches, calling themselves Lutheran, that admit to their altars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 who have been baptized and who believe that Jesus is their Savior. The claim will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undoubtedly be made that they profess the Lutheran doctrine. Unfortunately, their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practice belies that claim. In fact, their practice denies their doctrine. What happens when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you admit to the same altar those who believe that the bread is Jesus’ true body and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wine His true blood and that they therefore receive Jesus’ body and blood with their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mouths for the forgiveness of sins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and </w:t>
      </w:r>
      <w:r>
        <w:rPr>
          <w:rFonts w:ascii="TimesNewRomanPSMT" w:hAnsi="TimesNewRomanPSMT" w:cs="TimesNewRomanPSMT"/>
          <w:sz w:val="24"/>
          <w:szCs w:val="24"/>
        </w:rPr>
        <w:t>those who believe that they receive mere bread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wine? Here we deal not just with a minor difference of opinion.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offering to the sinner the body and blood of Christ, the sacrament acts as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absolution. We know and believe this. It declares that the body and blood of the Savior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offered for the sins of the world, are received by the mouth of the sinner together with that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forgiveness which Christ purchased by His death. The Sacrament of the Altar, therefore, 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not merely a divine mandate given by Jesus as a memorial, nor is it simply a token of His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love. It is the Gospel itself for it offers and bestows precisely that which the Gospel gives,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namely the forgiveness of sins. And where there is forgiveness of sins there is also life and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salvation.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Consider, on the other hand, the Reformed view of the Lord's Supper.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Reformed deny the Real Presence. They deny also that the Sacrament bestows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forgiveness of sins. Why do they attend the Lord's Supper? Simply because the Lord has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said, "This do in remembrance of me." They come in obedience to His command. They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view the Lord's Supper simply as "a memorial meal in commemoration of the death of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Christ." In other words, they view the sacrament as Law rather than Gospel. Regardless of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piety with which their "memorial meal" is celebrated, it remains true that if one regards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Sacrament primarily as something pious Christians do in obedience to Jesus, one sees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sacrament as Law. In their teaching on the Lord's Supper, the Reformed have deprived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Church of everything which our Lord Jesus placed into His precious Testament – grace,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absolution, forgiveness, life and salvation. They have bequeathed to the Church instead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hollow shell of pious human obedience – this because they see the Sacrament as law, not as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Gospel.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tremendous confusion then results when such people commune together at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same altar! Amos says, “Can two walk together if they are not agreed?” (Amos 3:3)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How then can Lutherans and the Reformed or Lutherans and Roman Catholics come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together at the same altar? When this happens, those communing together are not even in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agreement as to what they are doing in the Lord’s Supper – practice! Do you know why?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Because they are not in agreement as to what the Lord’s Supper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is </w:t>
      </w:r>
      <w:r>
        <w:rPr>
          <w:rFonts w:ascii="TimesNewRomanPSMT" w:hAnsi="TimesNewRomanPSMT" w:cs="TimesNewRomanPSMT"/>
          <w:sz w:val="24"/>
          <w:szCs w:val="24"/>
        </w:rPr>
        <w:t>– doctrine! There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could hardly be a greater disconnect between the doctrine and the practice than when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those who disagree on both the doctrine and the practice come together in the same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practice. This practice is all the more egregious because the parties cannot even agree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whether the Lord’s Supper is Law or Gospel. Does this Sacrament have to do with our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obedience or with our salvation? No wonder Luther exclaimed: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In summary, it is frightening for me to hear that in the churches of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one party, or at the altar of one party, both parties are taking and receiving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Sacrament of that one party, and that one group should believe that it 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receiving mere bread and wine while the other group believes that it 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receiving the true Body and Blood of Christ. And I often wonder if it 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believable that a preacher or Seelsorger could be so callous and evil as to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maintain silence on this issue and to permit both groups to come, each with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its own fancy that it can receive its own kind of Sacrament according to its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own belief. Therefore, whoever has such preachers or could expect such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from them, let him be warned about them as about the incarnate devil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himself!</w:t>
      </w:r>
      <w:r>
        <w:rPr>
          <w:rFonts w:ascii="TimesNewRomanPSMT" w:hAnsi="TimesNewRomanPSMT" w:cs="TimesNewRomanPSMT"/>
          <w:sz w:val="16"/>
          <w:szCs w:val="16"/>
        </w:rPr>
        <w:t>14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It is in participation in the Lord’s Supper that the contradiction between doctrine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practice can be most evident when so-called Lutheran congregations admit those of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other Christian church bodies to the altar regardless of a lack of agreement on the Lord’s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Supper.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But isn’t it simply a matter of interpretation anyway? With this question we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 the second aspect of our presentation today, namely the perspicuity or clarity of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Scripture. It is precisely in regard to our understanding of the Lord’s Supper that we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frequently hear that our differences are simply a matter of interpretation. Well, in the first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place, that’s not true. It is not a matter of interpretation. Everybody knows what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words say – this is my body – and everybody knows what the words mean. It is not a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question of interpretation; it is a question of whether or not you believe the words of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Jesus who is God and who, therefore, cannot lie and will not deceive.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But secondly, the suggestion that our understanding of the Lord’s Supper is a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matter of interpretation raises the insidious implication that Scripture is not clear. After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all, if the record of Jesus’ institution of the Lord’s Supper can be included four times in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New Testament and be related more often than practically any other events in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New Testament other than Jesus’ death and resurrection and we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still </w:t>
      </w:r>
      <w:r>
        <w:rPr>
          <w:rFonts w:ascii="TimesNewRomanPSMT" w:hAnsi="TimesNewRomanPSMT" w:cs="TimesNewRomanPSMT"/>
          <w:sz w:val="24"/>
          <w:szCs w:val="24"/>
        </w:rPr>
        <w:t>cannot know for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sure what it means, then perhaps many other teachings of the Bible are also up for grabs.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Perhaps the Scriptures are frequently unclear and we may have differing interpretations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Baptism, conversion, election, and so on.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of course this is precisely the view of many who take the position that in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regard to all of the above teachings you can have your interpretation and I can have mine.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since this is so, as long as we all believe in Jesus, we should be able to have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fellowship with each other. Apart from our fundamental understanding of the Gospel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itself, everything else is subject to one’s own interpretation. Such a view, of course, if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followed to its logical conclusion will lead to such a speculative view of Scripture that in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end the Gospel itself will be lost. But Jesus says, “If you continue in my word, you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are my disciples indeed and you will know the truth.” (John 8:31-32)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One of the major controversies of the Reformation revolved around the biblical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doctrine of the human will. Is the human will free or is it bound when it comes to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spiritual matters? Luther took the position that it is bound. Erasmus took the position that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it is free to choose the spiritual good. In the context of this disagreement, when Luther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cited Scriptural evidence clearly supporting his view of the bondage of the will in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spiritual matters, Erasmus criticized Luther for his over-bold assertions. He wanted a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more irenic approach, a less dogmatic approach, an approach which consulted reason and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urged people not to let doctrinal difference get in the way of peace. Luther responded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forcefully to Erasmus’ aversion to assertions. He wrote,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Away now with Sceptics and Academics from the company of us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Christians; let us have men who will assert, men twice as inflexible as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very Stoics! Take the Apostle Paul—how often does he call for that ‘full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assurance’ which is simply an assertion of conscience, of the highest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degree of certainty and conviction. In Rom. 10 he calls it ‘confession’—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‘with the mouth confession is made unto salvation’ (v. 10). Christ says,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‘Whosoever confesseth me before men, him will I confess before my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Father’ (Matt.10.32). Peter commands us to give a reason for the hope that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is in us (1 Pet. 3:15). And what need is there of a multitude of proofs?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Nothing is more familiar or characteristic among Christians than assertion.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Take away assertions, and you take away Christianity. Why, the Holy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Spirit is given to Christians from heaven in order that He may glorify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Christ and in them confess Him even unto death—and is this not assertion,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die for what you confess and assert? Again, the Spirit asserts to such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purpose that He breaks in upon the whole world and convinces it of sin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(cf. John 16.8), as if challenging it to battle. Paul tells Timothy to reprove,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to be instant out of season (2 Tim. 4.2); and what a clown I should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think a man to be who did not really believe, nor unwaveringly assert,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those things concerning which he reproved others! I think I should send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him to Anticyra! (Footnote indicates Anticyra was a health resort on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Aegean coast, famous for hellebore, which was a plant used to treat mental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illness.)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But I am the biggest fool of all for wasting time and words on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something that is clearer to see than the sun. What Christian can endure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idea that we should deprecate assertions? That would be denying all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religion and piety in one breath—asserting that religion and piety and all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dogmas are just nothing at all. Why then do you—you!—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assert </w:t>
      </w:r>
      <w:r>
        <w:rPr>
          <w:rFonts w:ascii="TimesNewRomanPSMT" w:hAnsi="TimesNewRomanPSMT" w:cs="TimesNewRomanPSMT"/>
          <w:sz w:val="24"/>
          <w:szCs w:val="24"/>
        </w:rPr>
        <w:t>that you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find no satisfaction in assertions </w:t>
      </w:r>
      <w:r>
        <w:rPr>
          <w:rFonts w:ascii="TimesNewRomanPSMT" w:hAnsi="TimesNewRomanPSMT" w:cs="TimesNewRomanPSMT"/>
          <w:sz w:val="24"/>
          <w:szCs w:val="24"/>
        </w:rPr>
        <w:t xml:space="preserve">and that you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prefer an undogmatic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temper to any other</w:t>
      </w:r>
      <w:r>
        <w:rPr>
          <w:rFonts w:ascii="TimesNewRomanPSMT" w:hAnsi="TimesNewRomanPSMT" w:cs="TimesNewRomanPSMT"/>
          <w:sz w:val="24"/>
          <w:szCs w:val="24"/>
        </w:rPr>
        <w:t>?</w:t>
      </w:r>
      <w:r>
        <w:rPr>
          <w:rFonts w:ascii="TimesNewRomanPSMT" w:hAnsi="TimesNewRomanPSMT" w:cs="TimesNewRomanPSMT"/>
          <w:sz w:val="16"/>
          <w:szCs w:val="16"/>
        </w:rPr>
        <w:t>15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Luther lectures Erasmus quite extensively on this matter of assertions and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concludes his remarks on this topic with the words, “The Holy Spirit is no Sceptic, and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things He has written in our hearts are not doubts or opinions, but assertions—surer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more certain than sense and life itself.”</w:t>
      </w:r>
      <w:r>
        <w:rPr>
          <w:rFonts w:ascii="TimesNewRomanPSMT" w:hAnsi="TimesNewRomanPSMT" w:cs="TimesNewRomanPSMT"/>
          <w:sz w:val="16"/>
          <w:szCs w:val="16"/>
        </w:rPr>
        <w:t xml:space="preserve">16 </w:t>
      </w:r>
      <w:r>
        <w:rPr>
          <w:rFonts w:ascii="TimesNewRomanPSMT" w:hAnsi="TimesNewRomanPSMT" w:cs="TimesNewRomanPSMT"/>
          <w:sz w:val="24"/>
          <w:szCs w:val="24"/>
        </w:rPr>
        <w:t>Luther then goes on to demonstrate that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Erasmus’ dislike for assertions was due to his view that Scripture is not clear. The dislike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today that people have for those who assert their religious convictions with certainty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demonstrates an affinity with Erasmus and exhibits a lack of confidence in the clarity of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Scripture and a spirit of skepticism.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Is God’s word clear? Nobody argues with the fact that here and there there are a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few difficult passages. But is the Bible, in all its fundamental teachings, clear? If we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answer “No,” we must conclude that it is nonsensical to talk of pure doctrine. After all, if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 cannot know what the text means, how can we know whether or not what we are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teaching is pure or impure?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 his book,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 Inspiration of Scripture</w:t>
      </w:r>
      <w:r>
        <w:rPr>
          <w:rFonts w:ascii="TimesNewRomanPSMT" w:hAnsi="TimesNewRomanPSMT" w:cs="TimesNewRomanPSMT"/>
          <w:sz w:val="24"/>
          <w:szCs w:val="24"/>
        </w:rPr>
        <w:t>, Robert Preus demonstrates that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Lutheran theologians of the 17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 w:val="24"/>
          <w:szCs w:val="24"/>
        </w:rPr>
        <w:t>Century followed Luther in their insistence on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Scripture’s clarity.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dogmaticians teach that the divine origin, the sufficiency and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clarity of Scripture are articles of that which ought to be accepted with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faith because they are revealed in Scripture. Scripture is clear and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sufficient because it is God’s Word to men. Unless Scripture is clear, it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cannot be said to be sufficient. How can we be saved through faith in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message of Scripture if that message is not clear? Rome taught that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witness of the Church was needed to make Scripture clear. This was also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persuasion of the Lutheran syncretists. The orthodox teachers hold that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Church is the interpreter of Scripture, but in such a way that each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Christian searches and interprets Scripture himself. The Bible does not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require the interpretation of others. It is not clear merely implicitly: it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clearly sets forth all we need to know to be saved. The perspicuity of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Scripture consists not merely in the fact that it enlightens the person who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already understands its literal meaning; Scripture is itself a light, it 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inherently, clear, making wise the simple, namely, those who allow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themselves to be persuaded.</w:t>
      </w:r>
      <w:r>
        <w:rPr>
          <w:rFonts w:ascii="TimesNewRomanPSMT" w:hAnsi="TimesNewRomanPSMT" w:cs="TimesNewRomanPSMT"/>
          <w:sz w:val="16"/>
          <w:szCs w:val="16"/>
        </w:rPr>
        <w:t>17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clarity of Scripture is not required simply for Scripture’s sake, but for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sake of the Gospel. If Scripture is not clear, who can know how to be saved? If Scripture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is not clear, there is no comfort for the distressed sinner. According to Walther, pure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doctrine, “…alone is the medicine that gives life to us human beings who are sick, yes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dead in sins.”</w:t>
      </w:r>
      <w:r>
        <w:rPr>
          <w:rFonts w:ascii="TimesNewRomanPSMT" w:hAnsi="TimesNewRomanPSMT" w:cs="TimesNewRomanPSMT"/>
          <w:sz w:val="16"/>
          <w:szCs w:val="16"/>
        </w:rPr>
        <w:t xml:space="preserve">18 </w:t>
      </w:r>
      <w:r>
        <w:rPr>
          <w:rFonts w:ascii="TimesNewRomanPSMT" w:hAnsi="TimesNewRomanPSMT" w:cs="TimesNewRomanPSMT"/>
          <w:sz w:val="24"/>
          <w:szCs w:val="24"/>
        </w:rPr>
        <w:t>Again Walther says, “We regard the pure Word of God as more precious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than heaven and earth and therefore would rather lose everyone’s friendship than lose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this. By this course of action we preserve the dear, precious, saving Gospel, and that not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only for ourselves—oh, no; but also for the sake of other souls…”</w:t>
      </w:r>
      <w:r>
        <w:rPr>
          <w:rFonts w:ascii="TimesNewRomanPSMT" w:hAnsi="TimesNewRomanPSMT" w:cs="TimesNewRomanPSMT"/>
          <w:sz w:val="16"/>
          <w:szCs w:val="16"/>
        </w:rPr>
        <w:t>19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Only pure doctrine saves. The historic Lutheran commitment to pure doctrine 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motivated by a desire to be faithful to God’s teaching. But it also flows from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understanding that only that which is pure can actually benefit us. It is only the pure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doctrine that saves sinners. It is only the pure doctrine that effects all spiritual benefits in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Church. Insistence upon pure doctrine is, therefore, indispensable to the life and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survival of the church and is especially essential in an age which disparages the very idea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absolute truth. In the end, if we cannot insist that we possess pure doctrine, we can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have no certainty; we can have no true hope.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Does this mean that in those churches that teach error nobody can be saved? Of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course not. Many will come to a knowledge of Christ also in these churches but it will not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have been the errors of these churches that brought them to Christ. Rather, it will have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been the truth that shines forth even in the midst of error that brought them into Christ’s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fold. Again, only pure doctrine saves. If one comes to the saving faith through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proclamation of a message which is not entirely pure, it is not that error is responsible for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good, but that the truth, insofar as it has been expressed, has the power to create faith and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save. In other words, one is saved in spite of the error.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Thus, far from being loveless in our insistence on the proclamation of only pure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doctrine, faithful Lutherans are exhibiting precisely the very love which their opponents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insist they so firmly desire. For apart from this insistence on the teaching of pure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doctrine, the Gospel dissolves and gives place to pious speculations that will always point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sinners to their own works rather than to the grace of God for salvation.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It is actually love that leads the Church to insist upon the identification of error.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so we have arrived at the last point I wish to emphasize in my presentation today.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proclamation of the truth requires the faithful shepherd to identify error for the sake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15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of the flock. This is a loving thing that he does. In an excellent chapter contained in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Abiding Word</w:t>
      </w:r>
      <w:r>
        <w:rPr>
          <w:rFonts w:ascii="TimesNewRomanPSMT" w:hAnsi="TimesNewRomanPSMT" w:cs="TimesNewRomanPSMT"/>
          <w:sz w:val="24"/>
          <w:szCs w:val="24"/>
        </w:rPr>
        <w:t>, Walter Baepler declares,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Whoever teaches the true doctrine, but does not warn against false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doctrine and against wolves in sheep’s clothing (Matt. 7:15), is not a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faithful steward of the mysteries of God, not a faithful shepherd of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sheep entrusted to his care, not a trusty watchman on the walls of Zion, but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 the Word of God says, a wicked servant, a dumb dog, a traitor. It 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evident that many souls are lost because they are not warned against false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doctrine, which is poison to the soul.</w:t>
      </w:r>
      <w:r>
        <w:rPr>
          <w:rFonts w:ascii="TimesNewRomanPSMT" w:hAnsi="TimesNewRomanPSMT" w:cs="TimesNewRomanPSMT"/>
          <w:sz w:val="16"/>
          <w:szCs w:val="16"/>
        </w:rPr>
        <w:t>20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Martin Luther insists upon the pastor’s duty to protect the sheep from false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teaching. In the exercise of his ministry, Luther says, the pastor is committed to battle on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behalf of Christ's church.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a pastor must not only lead to pasture by teaching the sheep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how to be true Christians: but, in addition to this, he must also repel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wolves, lest they attack the sheep and lead them astray with false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doctrine and error. For the devil does not rest. Now today one finds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many people who can let the Gospel be preached, provided that one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does not cry out against the wolves from coming and leading the sheep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astray. For what is built if I lay stones and watch someone else knock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them down? The wolf can surely let the sheep have good pasturage.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fatter they are, the more he likes them. But he cannot bear the hostile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barking of the dogs. Therefore to him who takes this to heart it 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important to tend the sheep in the right way, as God has commanded.</w:t>
      </w:r>
      <w:r>
        <w:rPr>
          <w:rFonts w:ascii="TimesNewRomanPSMT" w:hAnsi="TimesNewRomanPSMT" w:cs="TimesNewRomanPSMT"/>
          <w:sz w:val="16"/>
          <w:szCs w:val="16"/>
        </w:rPr>
        <w:t>21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the face of danger, then, the faithful preacher will not flee. He will stay to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protect souls, lest they perish.</w:t>
      </w:r>
      <w:r>
        <w:rPr>
          <w:rFonts w:ascii="TimesNewRomanPSMT" w:hAnsi="TimesNewRomanPSMT" w:cs="TimesNewRomanPSMT"/>
          <w:sz w:val="16"/>
          <w:szCs w:val="16"/>
        </w:rPr>
        <w:t xml:space="preserve">22 </w:t>
      </w:r>
      <w:r>
        <w:rPr>
          <w:rFonts w:ascii="TimesNewRomanPSMT" w:hAnsi="TimesNewRomanPSMT" w:cs="TimesNewRomanPSMT"/>
          <w:sz w:val="24"/>
          <w:szCs w:val="24"/>
        </w:rPr>
        <w:t>Nor can the faithful pastor pick his battles. Whenever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flock is in danger, he must be ready to stand in its defense. This duty to defend the flock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is the most compelling reason for the identification and refutation of false doctrine. There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are certainly other reasons to identify false doctrine and to avoid it. As Baepler points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out,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Every errorist transgresses the Second Commandment, for he lies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deceives by God’s name, which as our Catechism informs us, is done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by teaching false doctrine and saying that it is God’s Word or revelation.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errorist sins against the First Commandment, for either he is trusting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16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his own reason in matters of religion or he is following someone who 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erring and whom he is holding in greater esteem than God. In either case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 is committing idolatry… False doctrine is a sin against the Third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Commandment, which demands that we hold the Word of God sacred, in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other words, that we tremble at God’s Word in holy awe. Changing this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Word either by adding thereto or by taking away therefrom is despising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the holy Word of God.</w:t>
      </w:r>
      <w:r>
        <w:rPr>
          <w:rFonts w:ascii="TimesNewRomanPSMT" w:hAnsi="TimesNewRomanPSMT" w:cs="TimesNewRomanPSMT"/>
          <w:sz w:val="16"/>
          <w:szCs w:val="16"/>
        </w:rPr>
        <w:t>23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Surely these are sufficient reasons for pastors to point out error to their members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keep them from grave sin. The teaching of false doctrine violates the entire first table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the Law. But then Baepler goes on to point to the same duty of the pastor that Luther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identifies – the duty to identify false doctrine for the sake of souls. This care of souls is of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utmost importance. “To commit murder is generally considered a heinous crime,”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Baepler says. “But worse than destroying the body is the destroying of a soul. But just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that is done when the pure Word of God, which is able to save souls (James 1:21), 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taken from someone and he through error is led on the path that leads to destruction.”</w:t>
      </w:r>
      <w:r>
        <w:rPr>
          <w:rFonts w:ascii="TimesNewRomanPSMT" w:hAnsi="TimesNewRomanPSMT" w:cs="TimesNewRomanPSMT"/>
          <w:sz w:val="16"/>
          <w:szCs w:val="16"/>
        </w:rPr>
        <w:t>24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 wonder Walther commended the early Saxons because, “There a pastor was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bound by oath that as soon as he became aware that a fellow pastor had apostatized and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was attempting to mislead his congregation he would report this to the superintendent.”</w:t>
      </w:r>
      <w:r>
        <w:rPr>
          <w:rFonts w:ascii="TimesNewRomanPSMT" w:hAnsi="TimesNewRomanPSMT" w:cs="TimesNewRomanPSMT"/>
          <w:sz w:val="16"/>
          <w:szCs w:val="16"/>
        </w:rPr>
        <w:t>25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identification of error serves another salutary purpose. When error 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identified, the truth is better understood. When I was a young pastor in my first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congregation, I was teaching a youth Bible Class on comparative religions. One of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girls in the class got very upset because there was so much focus on falsehood and error.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She actually quit coming to the class as a result. She thought it was too negative. All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other young people loved it. They recognized that when error was exposed and contrasted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the truth, they understood much better the value of the truth. They understood why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they believed what they did. This growth in appreciation of the truth after having studied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17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error is something I have seen repeatedly throughout my ministry. So it is no surprise to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read in our own Confessions, “Every simple Christian can perceive what is right or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wrong, when not only the pure doctrine has been stated, but also the erroneous, contrary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doctrine has been repudiated and rejected.”</w:t>
      </w:r>
      <w:r>
        <w:rPr>
          <w:rFonts w:ascii="TimesNewRomanPSMT" w:hAnsi="TimesNewRomanPSMT" w:cs="TimesNewRomanPSMT"/>
          <w:sz w:val="16"/>
          <w:szCs w:val="16"/>
        </w:rPr>
        <w:t>26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St. Paul says in 1 Corinthians 13:6, “[Love]… does not rejoice in iniquity, but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rejoices in the truth.” The Lutheran pastor and layperson both need to understand that it 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not negative, it is positive; it is not unloving, but loving, to identify and reject that which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is false. To neglect this essential aspect of the office of the pastor especially, 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inexcusable. Imagine the following conversation: You go into a restaurant. The waiter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arrives and asks if you would like a menu. You say, “No, thank you.” “So you already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know what you would like,” the waiter says. “No,” you say. The waiter is puzzled,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hesitates and finally asks, “So – what would you like?” You say, “I don’t care. Just bring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 anything. It doesn’t matter.” Nobody would go into a restaurant with that attitude.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How much less ought you to go into a church with that attitude! How grateful you should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 if you have a pastor who feeds you with pure doctrine and does everything he can to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warn you about that doctrine that could harm you!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Formula of Concord </w:t>
      </w:r>
      <w:r>
        <w:rPr>
          <w:rFonts w:ascii="TimesNewRomanPSMT" w:hAnsi="TimesNewRomanPSMT" w:cs="TimesNewRomanPSMT"/>
          <w:sz w:val="24"/>
          <w:szCs w:val="24"/>
        </w:rPr>
        <w:t>employs a very effective way of teaching. It identifies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controversies, describes the biblical doctrine and then identifies false doctrine. It does this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its first 11 articles. But the 12</w:t>
      </w:r>
      <w:r>
        <w:rPr>
          <w:rFonts w:ascii="TimesNewRomanPSMT" w:hAnsi="TimesNewRomanPSMT" w:cs="TimesNewRomanPSMT"/>
          <w:sz w:val="16"/>
          <w:szCs w:val="16"/>
        </w:rPr>
        <w:t xml:space="preserve">th </w:t>
      </w:r>
      <w:r>
        <w:rPr>
          <w:rFonts w:ascii="TimesNewRomanPSMT" w:hAnsi="TimesNewRomanPSMT" w:cs="TimesNewRomanPSMT"/>
          <w:sz w:val="24"/>
          <w:szCs w:val="24"/>
        </w:rPr>
        <w:t>article is dedicated only to the identification and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rejection of heresies and false doctrine. It provides a whole list of false teachings to be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rejected, false teachings about Baptism the Lord’s Supper, the office of the ministry,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person of Christ, the Trinity and so on. It then says,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These and like articles, one and all, with what pertains to them and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follows from them, we reject and condemn as wrong, false, heretical, and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18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contrary to the Word of God, the three Creeds, the Augsburg Confession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Apology, the Smalcald Articles and Luther’s Catechisms. Of these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articles all godly Christians should and ought to beware, as much as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welfare and salvation of their souls is dear to them.</w:t>
      </w:r>
      <w:r>
        <w:rPr>
          <w:rFonts w:ascii="TimesNewRomanPSMT" w:hAnsi="TimesNewRomanPSMT" w:cs="TimesNewRomanPSMT"/>
          <w:sz w:val="16"/>
          <w:szCs w:val="16"/>
        </w:rPr>
        <w:t>27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conclusion, pure doctrine is a treasure. We should dedicate our lives to the use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this treasure. Thus, Paul urges Timothy, “Continue in the things you have learned.” (2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Timothy 3:14) He urges the Thessalonians, “Brothers, stand fast and hold the traditions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which you were taught.” ( 2 Thessalonians 2:15) Let us all heed Paul’s advice, continuing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what we have been taught and learned, knowing that God will generously bless our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study of and our commitment to His pure doctrine. Let us be faithful to the Scriptures and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the Lutheran Confessions. Then perhaps one day they will say of us what Dr. Richard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Lenski of the Ohio Synod wrote about the Missouri Synod in 1922.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there ever was a strictly conservative body, it surely is the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Missouri Synod. Nevertheless, this growth! Here is a historical fact that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refutes all talk trying to persuade us that we must be liberal, accommodate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ourselves to the spirit of the time, etc., in order to win men and grow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externally. The very opposite is seen in the Missouri Synod. Missouri has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 all times been unyielding; it is so still. In this body the Scriptures and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the Confessions have been, and still are, valued to their full import. There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was no disposition to surrender any part of them. With this asset Missouri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has been working in free America, abounding in sects and religious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confusion, and now exhibits its enormous achievements. What so many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regard as Missouri’s weakness has in reality been her strength. This fact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 might write down for our own remembrance. It is a mark of the pastors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leaders of the Missouri Synod that they never, aye, never, tire of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discussing doctrine on the basis of Scripture and the Confessions. That 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one trait that may be called the spirit of Missouri. People who thus cling to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doctrine and contend for its purity are of an entirely different nature from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superficial unionists who in the critical moment will declare five to be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 even number. God will bless all who value His Word so highly.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Gratitude towards God, who has granted this division of American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Lutheranism so much glorious blessing, and through Missouri has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communicated this blessing also to other parts of the Lutheran Church,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will be the basic note of this festival celebration. May God keep Missouri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us and all Lutheran Christians faithful in the doctrine and confession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His Word and grant us His blessing for our external growth and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prosperity.</w:t>
      </w:r>
      <w:r>
        <w:rPr>
          <w:rFonts w:ascii="TimesNewRomanPSMT" w:hAnsi="TimesNewRomanPSMT" w:cs="TimesNewRomanPSMT"/>
          <w:sz w:val="16"/>
          <w:szCs w:val="16"/>
        </w:rPr>
        <w:t>28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19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That was our past. By God’s grace may it be our future.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By Rev. Daniel Preus, March 2, 2011 –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Soli Deo Gloria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1 </w:t>
      </w:r>
      <w:r>
        <w:rPr>
          <w:rFonts w:ascii="TimesNewRomanPSMT" w:hAnsi="TimesNewRomanPSMT" w:cs="TimesNewRomanPSMT"/>
          <w:sz w:val="20"/>
          <w:szCs w:val="20"/>
        </w:rPr>
        <w:t xml:space="preserve">Ewald Plass,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What Luther Says</w:t>
      </w:r>
      <w:r>
        <w:rPr>
          <w:rFonts w:ascii="TimesNewRomanPSMT" w:hAnsi="TimesNewRomanPSMT" w:cs="TimesNewRomanPSMT"/>
          <w:sz w:val="20"/>
          <w:szCs w:val="20"/>
        </w:rPr>
        <w:t>, (St. Louis: Concordia Publishing House, 1959), 411.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2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Concordia Triglotta</w:t>
      </w:r>
      <w:r>
        <w:rPr>
          <w:rFonts w:ascii="TimesNewRomanPSMT" w:hAnsi="TimesNewRomanPSMT" w:cs="TimesNewRomanPSMT"/>
          <w:sz w:val="20"/>
          <w:szCs w:val="20"/>
        </w:rPr>
        <w:t>, (St. Louis: Concordia Publishing House, 1921), 401.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3 </w:t>
      </w:r>
      <w:r>
        <w:rPr>
          <w:rFonts w:ascii="TimesNewRomanPSMT" w:hAnsi="TimesNewRomanPSMT" w:cs="TimesNewRomanPSMT"/>
          <w:sz w:val="20"/>
          <w:szCs w:val="20"/>
        </w:rPr>
        <w:t>Plass, 415. Emphasis added.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4 </w:t>
      </w:r>
      <w:r>
        <w:rPr>
          <w:rFonts w:ascii="TimesNewRomanPSMT" w:hAnsi="TimesNewRomanPSMT" w:cs="TimesNewRomanPSMT"/>
          <w:sz w:val="20"/>
          <w:szCs w:val="20"/>
        </w:rPr>
        <w:t xml:space="preserve">Matthew Harrison, ed.,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At Home in the House of My Fathers</w:t>
      </w:r>
      <w:r>
        <w:rPr>
          <w:rFonts w:ascii="TimesNewRomanPSMT" w:hAnsi="TimesNewRomanPSMT" w:cs="TimesNewRomanPSMT"/>
          <w:sz w:val="20"/>
          <w:szCs w:val="20"/>
        </w:rPr>
        <w:t>, (Lutheran Legacy, 2009), 249. Emphasis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added.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5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Triglotta</w:t>
      </w:r>
      <w:r>
        <w:rPr>
          <w:rFonts w:ascii="TimesNewRomanPSMT" w:hAnsi="TimesNewRomanPSMT" w:cs="TimesNewRomanPSMT"/>
          <w:sz w:val="20"/>
          <w:szCs w:val="20"/>
        </w:rPr>
        <w:t>, 1095.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16"/>
          <w:szCs w:val="16"/>
        </w:rPr>
        <w:t xml:space="preserve">6 </w:t>
      </w:r>
      <w:r>
        <w:rPr>
          <w:rFonts w:ascii="TimesNewRomanPSMT" w:hAnsi="TimesNewRomanPSMT" w:cs="TimesNewRomanPSMT"/>
          <w:sz w:val="20"/>
          <w:szCs w:val="20"/>
        </w:rPr>
        <w:t xml:space="preserve">Luther, Martin: Pelikan, Jaroslav Jan; Oswald, Hilton C.; Lehmann, Helmut T., eds.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Luther's Works,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(Saint Louis: Concordia Publishing House, 1999), Vol. 27, 41. (Subsequent references to this edition of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Luther’s Works will be abbreviated LW.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7 </w:t>
      </w:r>
      <w:r>
        <w:rPr>
          <w:rFonts w:ascii="TimesNewRomanPSMT" w:hAnsi="TimesNewRomanPSMT" w:cs="TimesNewRomanPSMT"/>
          <w:sz w:val="20"/>
          <w:szCs w:val="20"/>
        </w:rPr>
        <w:t>Ibid, 38.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8 </w:t>
      </w:r>
      <w:r>
        <w:rPr>
          <w:rFonts w:ascii="TimesNewRomanPSMT" w:hAnsi="TimesNewRomanPSMT" w:cs="TimesNewRomanPSMT"/>
          <w:sz w:val="20"/>
          <w:szCs w:val="20"/>
        </w:rPr>
        <w:t>David Scaer. “Doctrine and Practice: Setting the Boundaries: An Abstract Essay with Practical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Implications.”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Concordia Theological Quarterly</w:t>
      </w:r>
      <w:r>
        <w:rPr>
          <w:rFonts w:ascii="TimesNewRomanPSMT" w:hAnsi="TimesNewRomanPSMT" w:cs="TimesNewRomanPSMT"/>
          <w:sz w:val="20"/>
          <w:szCs w:val="20"/>
        </w:rPr>
        <w:t>, vol. 66, 4 (October 2002), 308. Italics in the original.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9 </w:t>
      </w:r>
      <w:r>
        <w:rPr>
          <w:rFonts w:ascii="TimesNewRomanPSMT" w:hAnsi="TimesNewRomanPSMT" w:cs="TimesNewRomanPSMT"/>
          <w:sz w:val="20"/>
          <w:szCs w:val="20"/>
        </w:rPr>
        <w:t>Ibid, 309-310.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10 </w:t>
      </w:r>
      <w:r>
        <w:rPr>
          <w:rFonts w:ascii="TimesNewRomanPSMT" w:hAnsi="TimesNewRomanPSMT" w:cs="TimesNewRomanPSMT"/>
          <w:sz w:val="20"/>
          <w:szCs w:val="20"/>
        </w:rPr>
        <w:t>Ibid, 310.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11 </w:t>
      </w:r>
      <w:r>
        <w:rPr>
          <w:rFonts w:ascii="TimesNewRomanPSMT" w:hAnsi="TimesNewRomanPSMT" w:cs="TimesNewRomanPSMT"/>
          <w:sz w:val="20"/>
          <w:szCs w:val="20"/>
        </w:rPr>
        <w:t>Ibid, 311-312.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12 </w:t>
      </w:r>
      <w:r>
        <w:rPr>
          <w:rFonts w:ascii="TimesNewRomanPSMT" w:hAnsi="TimesNewRomanPSMT" w:cs="TimesNewRomanPSMT"/>
          <w:sz w:val="20"/>
          <w:szCs w:val="20"/>
        </w:rPr>
        <w:t>Ibid, 312.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13 </w:t>
      </w:r>
      <w:r>
        <w:rPr>
          <w:rFonts w:ascii="TimesNewRomanPSMT" w:hAnsi="TimesNewRomanPSMT" w:cs="TimesNewRomanPSMT"/>
          <w:sz w:val="20"/>
          <w:szCs w:val="20"/>
        </w:rPr>
        <w:t>Ibid, 314.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14 </w:t>
      </w:r>
      <w:r>
        <w:rPr>
          <w:rFonts w:ascii="TimesNewRomanPSMT" w:hAnsi="TimesNewRomanPSMT" w:cs="TimesNewRomanPSMT"/>
          <w:sz w:val="20"/>
          <w:szCs w:val="20"/>
        </w:rPr>
        <w:t>Martin Wittenberg, "Church Fellowship and Altar Fellowship in the Light of Church History", Logia: A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Journal of Lutheran Theology, (Fort Wayne, Indiana: Luther Academy, 1992), Volume I, Number 1, 2.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15 </w:t>
      </w:r>
      <w:r>
        <w:rPr>
          <w:rFonts w:ascii="TimesNewRomanPSMT" w:hAnsi="TimesNewRomanPSMT" w:cs="TimesNewRomanPSMT"/>
          <w:sz w:val="20"/>
          <w:szCs w:val="20"/>
        </w:rPr>
        <w:t xml:space="preserve">J. I. Packer &amp; O.I. Johnston, eds.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Martin Luther on the Bondage of the Will</w:t>
      </w:r>
      <w:r>
        <w:rPr>
          <w:rFonts w:ascii="TimesNewRomanPSMT" w:hAnsi="TimesNewRomanPSMT" w:cs="TimesNewRomanPSMT"/>
          <w:sz w:val="20"/>
          <w:szCs w:val="20"/>
        </w:rPr>
        <w:t>, (Westwood, N. J.: Revell,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1957), 67.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16 </w:t>
      </w:r>
      <w:r>
        <w:rPr>
          <w:rFonts w:ascii="TimesNewRomanPSMT" w:hAnsi="TimesNewRomanPSMT" w:cs="TimesNewRomanPSMT"/>
          <w:sz w:val="20"/>
          <w:szCs w:val="20"/>
        </w:rPr>
        <w:t>Ibid, 70.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17 </w:t>
      </w:r>
      <w:r>
        <w:rPr>
          <w:rFonts w:ascii="TimesNewRomanPSMT" w:hAnsi="TimesNewRomanPSMT" w:cs="TimesNewRomanPSMT"/>
          <w:sz w:val="20"/>
          <w:szCs w:val="20"/>
        </w:rPr>
        <w:t xml:space="preserve">Robert Preus,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The Inspiration of Scripture</w:t>
      </w:r>
      <w:r>
        <w:rPr>
          <w:rFonts w:ascii="TimesNewRomanPSMT" w:hAnsi="TimesNewRomanPSMT" w:cs="TimesNewRomanPSMT"/>
          <w:sz w:val="20"/>
          <w:szCs w:val="20"/>
        </w:rPr>
        <w:t>, (St. Louis: Concordia Publishing House, 1955), 156.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18 </w:t>
      </w:r>
      <w:r>
        <w:rPr>
          <w:rFonts w:ascii="TimesNewRomanPSMT" w:hAnsi="TimesNewRomanPSMT" w:cs="TimesNewRomanPSMT"/>
          <w:sz w:val="20"/>
          <w:szCs w:val="20"/>
        </w:rPr>
        <w:t>Harrison, 239.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19 </w:t>
      </w:r>
      <w:r>
        <w:rPr>
          <w:rFonts w:ascii="TimesNewRomanPSMT" w:hAnsi="TimesNewRomanPSMT" w:cs="TimesNewRomanPSMT"/>
          <w:sz w:val="20"/>
          <w:szCs w:val="20"/>
        </w:rPr>
        <w:t>Ibid, 254.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20 </w:t>
      </w:r>
      <w:r>
        <w:rPr>
          <w:rFonts w:ascii="TimesNewRomanPSMT" w:hAnsi="TimesNewRomanPSMT" w:cs="TimesNewRomanPSMT"/>
          <w:sz w:val="20"/>
          <w:szCs w:val="20"/>
        </w:rPr>
        <w:t xml:space="preserve">Theodore Laetsch, ed.,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The Abiding Word</w:t>
      </w:r>
      <w:r>
        <w:rPr>
          <w:rFonts w:ascii="TimesNewRomanPSMT" w:hAnsi="TimesNewRomanPSMT" w:cs="TimesNewRomanPSMT"/>
          <w:sz w:val="20"/>
          <w:szCs w:val="20"/>
        </w:rPr>
        <w:t>, (St. Louis: Concordia Publishing House, 1947), vol. 2, 508.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21 </w:t>
      </w:r>
      <w:r>
        <w:rPr>
          <w:rFonts w:ascii="TimesNewRomanPSMT" w:hAnsi="TimesNewRomanPSMT" w:cs="TimesNewRomanPSMT"/>
          <w:sz w:val="20"/>
          <w:szCs w:val="20"/>
        </w:rPr>
        <w:t>LW, vol. 30, 135.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22 </w:t>
      </w:r>
      <w:r>
        <w:rPr>
          <w:rFonts w:ascii="TimesNewRomanPSMT" w:hAnsi="TimesNewRomanPSMT" w:cs="TimesNewRomanPSMT"/>
          <w:sz w:val="20"/>
          <w:szCs w:val="20"/>
        </w:rPr>
        <w:t>Ibid, 277.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23 </w:t>
      </w:r>
      <w:r>
        <w:rPr>
          <w:rFonts w:ascii="TimesNewRomanPSMT" w:hAnsi="TimesNewRomanPSMT" w:cs="TimesNewRomanPSMT"/>
          <w:sz w:val="20"/>
          <w:szCs w:val="20"/>
        </w:rPr>
        <w:t>Laetsch, 502.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lastRenderedPageBreak/>
        <w:t xml:space="preserve">24 </w:t>
      </w:r>
      <w:r>
        <w:rPr>
          <w:rFonts w:ascii="TimesNewRomanPSMT" w:hAnsi="TimesNewRomanPSMT" w:cs="TimesNewRomanPSMT"/>
          <w:sz w:val="20"/>
          <w:szCs w:val="20"/>
        </w:rPr>
        <w:t>Ibid.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25 </w:t>
      </w:r>
      <w:r>
        <w:rPr>
          <w:rFonts w:ascii="TimesNewRomanPSMT" w:hAnsi="TimesNewRomanPSMT" w:cs="TimesNewRomanPSMT"/>
          <w:sz w:val="20"/>
          <w:szCs w:val="20"/>
        </w:rPr>
        <w:t>Harrison, 243.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26 </w:t>
      </w:r>
      <w:r>
        <w:rPr>
          <w:rFonts w:ascii="TimesNewRomanPSMT" w:hAnsi="TimesNewRomanPSMT" w:cs="TimesNewRomanPSMT"/>
          <w:sz w:val="20"/>
          <w:szCs w:val="20"/>
        </w:rPr>
        <w:t>Triglotta, 837</w:t>
      </w:r>
    </w:p>
    <w:p w:rsidR="003D58B0" w:rsidRDefault="003D58B0" w:rsidP="003D58B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13"/>
          <w:szCs w:val="13"/>
        </w:rPr>
        <w:t xml:space="preserve">27 </w:t>
      </w:r>
      <w:r>
        <w:rPr>
          <w:rFonts w:ascii="TimesNewRomanPSMT" w:hAnsi="TimesNewRomanPSMT" w:cs="TimesNewRomanPSMT"/>
          <w:sz w:val="20"/>
          <w:szCs w:val="20"/>
        </w:rPr>
        <w:t>Ibid, 1103.</w:t>
      </w:r>
    </w:p>
    <w:p w:rsidR="001B2CC8" w:rsidRDefault="003D58B0" w:rsidP="003D58B0">
      <w:r>
        <w:rPr>
          <w:rFonts w:ascii="TimesNewRomanPSMT" w:hAnsi="TimesNewRomanPSMT" w:cs="TimesNewRomanPSMT"/>
          <w:sz w:val="13"/>
          <w:szCs w:val="13"/>
        </w:rPr>
        <w:t xml:space="preserve">28 </w:t>
      </w:r>
      <w:r>
        <w:rPr>
          <w:rFonts w:ascii="TimesNewRomanPSMT" w:hAnsi="TimesNewRomanPSMT" w:cs="TimesNewRomanPSMT"/>
          <w:sz w:val="20"/>
          <w:szCs w:val="20"/>
        </w:rPr>
        <w:t>Laetsch, 515-516.</w:t>
      </w:r>
    </w:p>
    <w:sectPr w:rsidR="001B2CC8" w:rsidSect="00540A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23" w:rsidRDefault="00CA7623" w:rsidP="006003BC">
      <w:pPr>
        <w:spacing w:line="240" w:lineRule="auto"/>
      </w:pPr>
      <w:r>
        <w:separator/>
      </w:r>
    </w:p>
  </w:endnote>
  <w:endnote w:type="continuationSeparator" w:id="0">
    <w:p w:rsidR="00CA7623" w:rsidRDefault="00CA7623" w:rsidP="00600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BC" w:rsidRDefault="006003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777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3BC" w:rsidRDefault="00540AE1">
        <w:pPr>
          <w:pStyle w:val="Footer"/>
          <w:jc w:val="right"/>
        </w:pPr>
        <w:r>
          <w:fldChar w:fldCharType="begin"/>
        </w:r>
        <w:r w:rsidR="006003BC">
          <w:instrText xml:space="preserve"> PAGE   \* MERGEFORMAT </w:instrText>
        </w:r>
        <w:r>
          <w:fldChar w:fldCharType="separate"/>
        </w:r>
        <w:r w:rsidR="009D2D6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003BC" w:rsidRDefault="006003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BC" w:rsidRDefault="006003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23" w:rsidRDefault="00CA7623" w:rsidP="006003BC">
      <w:pPr>
        <w:spacing w:line="240" w:lineRule="auto"/>
      </w:pPr>
      <w:r>
        <w:separator/>
      </w:r>
    </w:p>
  </w:footnote>
  <w:footnote w:type="continuationSeparator" w:id="0">
    <w:p w:rsidR="00CA7623" w:rsidRDefault="00CA7623" w:rsidP="006003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BC" w:rsidRDefault="006003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BC" w:rsidRDefault="006003BC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3BC" w:rsidRDefault="006003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253"/>
    <w:rsid w:val="00087253"/>
    <w:rsid w:val="003264CB"/>
    <w:rsid w:val="003D58B0"/>
    <w:rsid w:val="00405F71"/>
    <w:rsid w:val="004E34C1"/>
    <w:rsid w:val="00540AE1"/>
    <w:rsid w:val="006003BC"/>
    <w:rsid w:val="007959C0"/>
    <w:rsid w:val="008F2E23"/>
    <w:rsid w:val="009D2D62"/>
    <w:rsid w:val="00C46037"/>
    <w:rsid w:val="00CA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3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3BC"/>
  </w:style>
  <w:style w:type="paragraph" w:styleId="Footer">
    <w:name w:val="footer"/>
    <w:basedOn w:val="Normal"/>
    <w:link w:val="FooterChar"/>
    <w:uiPriority w:val="99"/>
    <w:unhideWhenUsed/>
    <w:rsid w:val="006003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3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3BC"/>
  </w:style>
  <w:style w:type="paragraph" w:styleId="Footer">
    <w:name w:val="footer"/>
    <w:basedOn w:val="Normal"/>
    <w:link w:val="FooterChar"/>
    <w:uiPriority w:val="99"/>
    <w:unhideWhenUsed/>
    <w:rsid w:val="006003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5877</Words>
  <Characters>33503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Pastor</cp:lastModifiedBy>
  <cp:revision>2</cp:revision>
  <dcterms:created xsi:type="dcterms:W3CDTF">2017-03-31T15:50:00Z</dcterms:created>
  <dcterms:modified xsi:type="dcterms:W3CDTF">2017-03-31T15:50:00Z</dcterms:modified>
</cp:coreProperties>
</file>